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p>
    <w:tbl>
      <w:tblPr>
        <w:tblStyle w:val="Table1"/>
        <w:tblW w:w="9255.0" w:type="dxa"/>
        <w:jc w:val="left"/>
        <w:tblInd w:w="0.0" w:type="dxa"/>
        <w:tblLayout w:type="fixed"/>
        <w:tblLook w:val="0000"/>
      </w:tblPr>
      <w:tblGrid>
        <w:gridCol w:w="9255"/>
        <w:tblGridChange w:id="0">
          <w:tblGrid>
            <w:gridCol w:w="9255"/>
          </w:tblGrid>
        </w:tblGridChange>
      </w:tblGrid>
      <w:tr>
        <w:trPr>
          <w:trHeight w:val="1620" w:hRule="atLeast"/>
        </w:trPr>
        <w:tc>
          <w:tcPr>
            <w:tcBorders>
              <w:top w:color="000000" w:space="0" w:sz="12" w:val="single"/>
              <w:left w:color="000000" w:space="0" w:sz="12" w:val="single"/>
              <w:bottom w:color="000000" w:space="0" w:sz="12" w:val="single"/>
              <w:right w:color="000000" w:space="0" w:sz="12" w:val="single"/>
            </w:tcBorders>
            <w:shd w:fill="e2efd9" w:val="clear"/>
            <w:vAlign w:val="center"/>
          </w:tcPr>
          <w:p w:rsidR="00000000" w:rsidDel="00000000" w:rsidP="00000000" w:rsidRDefault="00000000" w:rsidRPr="00000000" w14:paraId="00000001">
            <w:pPr>
              <w:spacing w:after="60" w:before="60" w:line="240" w:lineRule="auto"/>
              <w:contextualSpacing w:val="0"/>
              <w:jc w:val="center"/>
              <w:rPr>
                <w:b w:val="1"/>
                <w:color w:val="000000"/>
              </w:rPr>
            </w:pPr>
            <w:r w:rsidDel="00000000" w:rsidR="00000000" w:rsidRPr="00000000">
              <w:rPr>
                <w:b w:val="1"/>
                <w:color w:val="000000"/>
                <w:rtl w:val="0"/>
              </w:rPr>
              <w:t xml:space="preserve">Záznam o činnostech zpracování – </w:t>
            </w:r>
            <w:r w:rsidDel="00000000" w:rsidR="00000000" w:rsidRPr="00000000">
              <w:rPr>
                <w:b w:val="1"/>
                <w:color w:val="ff0000"/>
                <w:rtl w:val="0"/>
              </w:rPr>
              <w:t xml:space="preserve">zkrácený název činnosti zpracování</w:t>
            </w:r>
            <w:r w:rsidDel="00000000" w:rsidR="00000000" w:rsidRPr="00000000">
              <w:rPr>
                <w:b w:val="1"/>
                <w:color w:val="000000"/>
                <w:rtl w:val="0"/>
              </w:rPr>
              <w:br w:type="textWrapping"/>
              <w:t xml:space="preserve">čl. 30 odst. 1 obecného nařízení o ochraně osobních údajů (GDPR)</w:t>
            </w:r>
          </w:p>
          <w:p w:rsidR="00000000" w:rsidDel="00000000" w:rsidP="00000000" w:rsidRDefault="00000000" w:rsidRPr="00000000" w14:paraId="00000002">
            <w:pPr>
              <w:spacing w:after="60" w:before="60" w:line="24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03">
            <w:pPr>
              <w:spacing w:after="60" w:before="60" w:line="240" w:lineRule="auto"/>
              <w:contextualSpacing w:val="0"/>
              <w:jc w:val="left"/>
              <w:rPr>
                <w:b w:val="1"/>
                <w:color w:val="000000"/>
              </w:rPr>
            </w:pPr>
            <w:r w:rsidDel="00000000" w:rsidR="00000000" w:rsidRPr="00000000">
              <w:rPr>
                <w:b w:val="1"/>
                <w:color w:val="000000"/>
                <w:rtl w:val="0"/>
              </w:rPr>
              <w:t xml:space="preserve">Správce: </w:t>
            </w:r>
            <w:r w:rsidDel="00000000" w:rsidR="00000000" w:rsidRPr="00000000">
              <w:rPr>
                <w:i w:val="1"/>
                <w:color w:val="ff0000"/>
                <w:rtl w:val="0"/>
              </w:rPr>
              <w:t xml:space="preserve">… (název, adresa, datová schránka) …</w:t>
            </w:r>
            <w:r w:rsidDel="00000000" w:rsidR="00000000" w:rsidRPr="00000000">
              <w:rPr>
                <w:b w:val="1"/>
                <w:color w:val="000000"/>
                <w:rtl w:val="0"/>
              </w:rPr>
              <w:br w:type="textWrapping"/>
              <w:t xml:space="preserve">Pověřenec pro ochranu osobních údajů: </w:t>
            </w:r>
            <w:r w:rsidDel="00000000" w:rsidR="00000000" w:rsidRPr="00000000">
              <w:rPr>
                <w:i w:val="1"/>
                <w:color w:val="ff0000"/>
                <w:rtl w:val="0"/>
              </w:rPr>
              <w:t xml:space="preserve">… (jméno, příjmení, e-mail) …</w:t>
            </w:r>
            <w:r w:rsidDel="00000000" w:rsidR="00000000" w:rsidRPr="00000000">
              <w:rPr>
                <w:rtl w:val="0"/>
              </w:rPr>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04">
            <w:pPr>
              <w:spacing w:after="60" w:before="60" w:line="240" w:lineRule="auto"/>
              <w:contextualSpacing w:val="0"/>
              <w:jc w:val="left"/>
              <w:rPr>
                <w:b w:val="1"/>
                <w:color w:val="000000"/>
              </w:rPr>
            </w:pPr>
            <w:r w:rsidDel="00000000" w:rsidR="00000000" w:rsidRPr="00000000">
              <w:rPr>
                <w:b w:val="1"/>
                <w:color w:val="000000"/>
                <w:rtl w:val="0"/>
              </w:rPr>
              <w:t xml:space="preserve">I. Účely zpracování</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e2efd9" w:val="clear"/>
            <w:vAlign w:val="center"/>
          </w:tcPr>
          <w:p w:rsidR="00000000" w:rsidDel="00000000" w:rsidP="00000000" w:rsidRDefault="00000000" w:rsidRPr="00000000" w14:paraId="00000005">
            <w:pPr>
              <w:spacing w:after="60" w:before="60" w:line="240" w:lineRule="auto"/>
              <w:contextualSpacing w:val="0"/>
              <w:jc w:val="center"/>
              <w:rPr>
                <w:color w:val="ff0000"/>
              </w:rPr>
            </w:pPr>
            <w:r w:rsidDel="00000000" w:rsidR="00000000" w:rsidRPr="00000000">
              <w:rPr>
                <w:b w:val="1"/>
                <w:color w:val="ff0000"/>
                <w:rtl w:val="0"/>
              </w:rPr>
              <w:t xml:space="preserve">Detailní popis konkrétní činnosti zpracování</w:t>
            </w:r>
            <w:r w:rsidDel="00000000" w:rsidR="00000000" w:rsidRPr="00000000">
              <w:rPr>
                <w:rtl w:val="0"/>
              </w:rPr>
            </w:r>
          </w:p>
          <w:p w:rsidR="00000000" w:rsidDel="00000000" w:rsidP="00000000" w:rsidRDefault="00000000" w:rsidRPr="00000000" w14:paraId="00000006">
            <w:pPr>
              <w:spacing w:after="60" w:before="60" w:line="240" w:lineRule="auto"/>
              <w:contextualSpacing w:val="0"/>
              <w:jc w:val="center"/>
              <w:rPr>
                <w:color w:val="ff0000"/>
              </w:rPr>
            </w:pPr>
            <w:r w:rsidDel="00000000" w:rsidR="00000000" w:rsidRPr="00000000">
              <w:rPr>
                <w:color w:val="ff0000"/>
                <w:rtl w:val="0"/>
              </w:rPr>
              <w:t xml:space="preserve">Popis vychází z definice účelu zpracování v dotaznících.</w:t>
            </w:r>
          </w:p>
        </w:tc>
      </w:tr>
      <w:tr>
        <w:trPr>
          <w:trHeight w:val="1360" w:hRule="atLeast"/>
        </w:trPr>
        <w:tc>
          <w:tcPr>
            <w:tcBorders>
              <w:top w:color="000000" w:space="0" w:sz="12" w:val="single"/>
              <w:left w:color="000000" w:space="0" w:sz="12" w:val="single"/>
              <w:right w:color="000000" w:space="0" w:sz="12" w:val="single"/>
            </w:tcBorders>
            <w:shd w:fill="auto" w:val="clear"/>
            <w:vAlign w:val="center"/>
          </w:tcPr>
          <w:p w:rsidR="00000000" w:rsidDel="00000000" w:rsidP="00000000" w:rsidRDefault="00000000" w:rsidRPr="00000000" w14:paraId="00000007">
            <w:pPr>
              <w:spacing w:after="120" w:before="60" w:line="240" w:lineRule="auto"/>
              <w:contextualSpacing w:val="0"/>
              <w:jc w:val="left"/>
              <w:rPr>
                <w:b w:val="1"/>
              </w:rPr>
            </w:pPr>
            <w:r w:rsidDel="00000000" w:rsidR="00000000" w:rsidRPr="00000000">
              <w:rPr>
                <w:b w:val="1"/>
                <w:color w:val="000000"/>
                <w:rtl w:val="0"/>
              </w:rPr>
              <w:t xml:space="preserve">Čl. 6 odst. 1 písm. c) GDPR - zpracování nezbytné pro plnění právní povinnosti:</w:t>
            </w:r>
            <w:r w:rsidDel="00000000" w:rsidR="00000000" w:rsidRPr="00000000">
              <w:rPr>
                <w:rtl w:val="0"/>
              </w:rPr>
            </w:r>
          </w:p>
          <w:p w:rsidR="00000000" w:rsidDel="00000000" w:rsidP="00000000" w:rsidRDefault="00000000" w:rsidRPr="00000000" w14:paraId="00000008">
            <w:pPr>
              <w:spacing w:after="60" w:before="60" w:line="240" w:lineRule="auto"/>
              <w:contextualSpacing w:val="0"/>
              <w:rPr>
                <w:color w:val="ff0000"/>
              </w:rPr>
            </w:pPr>
            <w:r w:rsidDel="00000000" w:rsidR="00000000" w:rsidRPr="00000000">
              <w:rPr>
                <w:color w:val="ff0000"/>
                <w:rtl w:val="0"/>
              </w:rPr>
              <w:t xml:space="preserve">Právní základ pro zpracování (uvádí se konkrétní zákon – doporučujeme vč. příslušného paragrafu, odstavce a písmene) z dotazníku pro zpracovatele.</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09">
            <w:pPr>
              <w:spacing w:after="60" w:before="60" w:line="240" w:lineRule="auto"/>
              <w:contextualSpacing w:val="0"/>
              <w:jc w:val="left"/>
              <w:rPr>
                <w:b w:val="1"/>
              </w:rPr>
            </w:pPr>
            <w:r w:rsidDel="00000000" w:rsidR="00000000" w:rsidRPr="00000000">
              <w:rPr>
                <w:b w:val="1"/>
                <w:color w:val="000000"/>
                <w:rtl w:val="0"/>
              </w:rPr>
              <w:t xml:space="preserve">II. Kategorie subjektů údajů</w:t>
            </w:r>
            <w:r w:rsidDel="00000000" w:rsidR="00000000" w:rsidRPr="00000000">
              <w:rPr>
                <w:rtl w:val="0"/>
              </w:rPr>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uto" w:val="clear"/>
            <w:vAlign w:val="center"/>
          </w:tcPr>
          <w:p w:rsidR="00000000" w:rsidDel="00000000" w:rsidP="00000000" w:rsidRDefault="00000000" w:rsidRPr="00000000" w14:paraId="0000000A">
            <w:pPr>
              <w:spacing w:after="60" w:before="60" w:line="240" w:lineRule="auto"/>
              <w:contextualSpacing w:val="0"/>
              <w:rPr>
                <w:color w:val="ff0000"/>
              </w:rPr>
            </w:pPr>
            <w:r w:rsidDel="00000000" w:rsidR="00000000" w:rsidRPr="00000000">
              <w:rPr>
                <w:color w:val="ff0000"/>
                <w:rtl w:val="0"/>
              </w:rPr>
              <w:t xml:space="preserve">Popis kategorií osob, jejichž osobní údaje se zpracovávají (např. klient, žák, zákonný zástupce apod.).</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0B">
            <w:pPr>
              <w:spacing w:after="60" w:before="60" w:line="240" w:lineRule="auto"/>
              <w:contextualSpacing w:val="0"/>
              <w:jc w:val="left"/>
              <w:rPr>
                <w:b w:val="1"/>
                <w:color w:val="000000"/>
              </w:rPr>
            </w:pPr>
            <w:r w:rsidDel="00000000" w:rsidR="00000000" w:rsidRPr="00000000">
              <w:rPr>
                <w:b w:val="1"/>
                <w:color w:val="000000"/>
                <w:rtl w:val="0"/>
              </w:rPr>
              <w:t xml:space="preserve">III. Kategorie osobních údajů</w:t>
            </w:r>
          </w:p>
        </w:tc>
      </w:tr>
      <w:tr>
        <w:trPr>
          <w:trHeight w:val="780" w:hRule="atLeast"/>
        </w:trPr>
        <w:tc>
          <w:tcPr>
            <w:tcBorders>
              <w:top w:color="000000" w:space="0" w:sz="12" w:val="single"/>
              <w:left w:color="000000" w:space="0" w:sz="12" w:val="single"/>
              <w:bottom w:color="000000" w:space="0" w:sz="12" w:val="single"/>
              <w:right w:color="000000" w:space="0" w:sz="12" w:val="single"/>
            </w:tcBorders>
            <w:shd w:fill="auto" w:val="clear"/>
            <w:vAlign w:val="center"/>
          </w:tcPr>
          <w:p w:rsidR="00000000" w:rsidDel="00000000" w:rsidP="00000000" w:rsidRDefault="00000000" w:rsidRPr="00000000" w14:paraId="0000000C">
            <w:pPr>
              <w:spacing w:after="60" w:before="60" w:lineRule="auto"/>
              <w:contextualSpacing w:val="0"/>
              <w:rPr>
                <w:color w:val="ff0000"/>
              </w:rPr>
            </w:pPr>
            <w:r w:rsidDel="00000000" w:rsidR="00000000" w:rsidRPr="00000000">
              <w:rPr>
                <w:color w:val="ff0000"/>
                <w:rtl w:val="0"/>
              </w:rPr>
              <w:t xml:space="preserve">Seznam kategorií osobních údajů, které se pro daný účel zpracovávají. V souladu s požadavkem na minimalizaci zpracování vždy platí, že zpracovávat je možné výhradně osobní údaje, které nařizuje zpracovávat příslušný zákon či jiné legislativní opatření.</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0D">
            <w:pPr>
              <w:spacing w:after="60" w:before="60" w:line="240" w:lineRule="auto"/>
              <w:contextualSpacing w:val="0"/>
              <w:jc w:val="left"/>
              <w:rPr>
                <w:b w:val="1"/>
                <w:color w:val="000000"/>
              </w:rPr>
            </w:pPr>
            <w:r w:rsidDel="00000000" w:rsidR="00000000" w:rsidRPr="00000000">
              <w:rPr>
                <w:b w:val="1"/>
                <w:color w:val="000000"/>
                <w:rtl w:val="0"/>
              </w:rPr>
              <w:t xml:space="preserve">IV. Kategorie příjemců</w:t>
            </w:r>
          </w:p>
        </w:tc>
      </w:tr>
      <w:tr>
        <w:trPr>
          <w:trHeight w:val="780" w:hRule="atLeast"/>
        </w:trPr>
        <w:tc>
          <w:tcPr>
            <w:tcBorders>
              <w:top w:color="000000" w:space="0" w:sz="12" w:val="single"/>
              <w:left w:color="000000" w:space="0" w:sz="12" w:val="single"/>
              <w:bottom w:color="000000" w:space="0" w:sz="12" w:val="single"/>
              <w:right w:color="000000" w:space="0" w:sz="12" w:val="single"/>
            </w:tcBorders>
            <w:shd w:fill="auto" w:val="clear"/>
            <w:vAlign w:val="center"/>
          </w:tcPr>
          <w:p w:rsidR="00000000" w:rsidDel="00000000" w:rsidP="00000000" w:rsidRDefault="00000000" w:rsidRPr="00000000" w14:paraId="0000000E">
            <w:pPr>
              <w:spacing w:after="60" w:before="60" w:line="240" w:lineRule="auto"/>
              <w:contextualSpacing w:val="0"/>
              <w:rPr>
                <w:color w:val="ff0000"/>
              </w:rPr>
            </w:pPr>
            <w:r w:rsidDel="00000000" w:rsidR="00000000" w:rsidRPr="00000000">
              <w:rPr>
                <w:color w:val="ff0000"/>
                <w:rtl w:val="0"/>
              </w:rPr>
              <w:t xml:space="preserve">Seznam příjemců zpracovávaných osobních údajů, a to vč. potenciálních. Opět se vychází ze zpracovaných (a oběma stranami schválených) dotazníků pro zpracovatele. Příjemce je osoba či organizace, která za předem daných podmínek může osobní údaje zpracovávat, případně pouze prohlížet (např. tajemník nebo starosta v rámci kontrolní činnosti, případě správce ICT při správě konkrétního informačního systému), </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0F">
            <w:pPr>
              <w:spacing w:after="60" w:before="60" w:line="240" w:lineRule="auto"/>
              <w:contextualSpacing w:val="0"/>
              <w:rPr>
                <w:b w:val="1"/>
              </w:rPr>
            </w:pPr>
            <w:r w:rsidDel="00000000" w:rsidR="00000000" w:rsidRPr="00000000">
              <w:rPr>
                <w:b w:val="1"/>
                <w:rtl w:val="0"/>
              </w:rPr>
              <w:t xml:space="preserve">V. Plánované lhůty pro výmaz kategorií osobních údajů</w:t>
            </w:r>
          </w:p>
        </w:tc>
      </w:tr>
      <w:tr>
        <w:trPr>
          <w:trHeight w:val="780" w:hRule="atLeast"/>
        </w:trPr>
        <w:tc>
          <w:tcPr>
            <w:tcBorders>
              <w:top w:color="000000" w:space="0" w:sz="12" w:val="single"/>
              <w:left w:color="000000" w:space="0" w:sz="12" w:val="single"/>
              <w:bottom w:color="000000" w:space="0" w:sz="12" w:val="single"/>
              <w:right w:color="000000" w:space="0" w:sz="12" w:val="single"/>
            </w:tcBorders>
            <w:shd w:fill="auto" w:val="clear"/>
            <w:vAlign w:val="center"/>
          </w:tcPr>
          <w:p w:rsidR="00000000" w:rsidDel="00000000" w:rsidP="00000000" w:rsidRDefault="00000000" w:rsidRPr="00000000" w14:paraId="00000010">
            <w:pPr>
              <w:spacing w:after="60" w:before="60" w:line="240" w:lineRule="auto"/>
              <w:contextualSpacing w:val="0"/>
              <w:rPr>
                <w:color w:val="ff0000"/>
              </w:rPr>
            </w:pPr>
            <w:r w:rsidDel="00000000" w:rsidR="00000000" w:rsidRPr="00000000">
              <w:rPr>
                <w:color w:val="ff0000"/>
                <w:rtl w:val="0"/>
              </w:rPr>
              <w:t xml:space="preserve">Zákonem, Skartačním a archivačním řádem či jinými pravidly stanovené lhůty pro archivaci (předání do oblastního archivu) či skartaci zpracovávaných osobních údajů. V souladu s pravidlem minimalizace zpracování doporučujeme uvedené lhůty uplatnit i na osobní údaje zpracovávané v současné době.</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8d08d" w:val="clear"/>
            <w:vAlign w:val="center"/>
          </w:tcPr>
          <w:p w:rsidR="00000000" w:rsidDel="00000000" w:rsidP="00000000" w:rsidRDefault="00000000" w:rsidRPr="00000000" w14:paraId="00000011">
            <w:pPr>
              <w:spacing w:after="60" w:before="60" w:line="240" w:lineRule="auto"/>
              <w:contextualSpacing w:val="0"/>
              <w:rPr>
                <w:b w:val="1"/>
              </w:rPr>
            </w:pPr>
            <w:r w:rsidDel="00000000" w:rsidR="00000000" w:rsidRPr="00000000">
              <w:rPr>
                <w:b w:val="1"/>
                <w:rtl w:val="0"/>
              </w:rPr>
              <w:t xml:space="preserve">VI. Obecný popis technických a organizačních bezpečnostních opatření</w:t>
            </w:r>
          </w:p>
        </w:tc>
      </w:tr>
      <w:tr>
        <w:trPr>
          <w:trHeight w:val="440" w:hRule="atLeast"/>
        </w:trPr>
        <w:tc>
          <w:tcPr>
            <w:tcBorders>
              <w:top w:color="000000" w:space="0" w:sz="12" w:val="single"/>
              <w:left w:color="000000" w:space="0" w:sz="12" w:val="single"/>
              <w:bottom w:color="000000" w:space="0" w:sz="12" w:val="single"/>
              <w:right w:color="000000" w:space="0" w:sz="12" w:val="single"/>
            </w:tcBorders>
            <w:shd w:fill="auto" w:val="clear"/>
            <w:vAlign w:val="center"/>
          </w:tcPr>
          <w:p w:rsidR="00000000" w:rsidDel="00000000" w:rsidP="00000000" w:rsidRDefault="00000000" w:rsidRPr="00000000" w14:paraId="00000012">
            <w:pPr>
              <w:spacing w:after="60" w:before="60" w:line="240" w:lineRule="auto"/>
              <w:contextualSpacing w:val="0"/>
              <w:rPr>
                <w:color w:val="ff0000"/>
              </w:rPr>
            </w:pPr>
            <w:bookmarkStart w:colFirst="0" w:colLast="0" w:name="_gjdgxs" w:id="0"/>
            <w:bookmarkEnd w:id="0"/>
            <w:r w:rsidDel="00000000" w:rsidR="00000000" w:rsidRPr="00000000">
              <w:rPr>
                <w:color w:val="ff0000"/>
                <w:rtl w:val="0"/>
              </w:rPr>
              <w:t xml:space="preserve">Popis bezpečnostních opatření realizovaných za účelem zvýšení ochrany osobních údajů (např. zabezpečení počítačů heslem, ukládání písemností obsahujících osobní údaje do zamykatelných skříní či zásuvek apod.).</w:t>
            </w:r>
          </w:p>
        </w:tc>
      </w:tr>
    </w:tbl>
    <w:p w:rsidR="00000000" w:rsidDel="00000000" w:rsidP="00000000" w:rsidRDefault="00000000" w:rsidRPr="00000000" w14:paraId="00000013">
      <w:pPr>
        <w:contextualSpacing w:val="0"/>
        <w:rPr/>
      </w:pPr>
      <w:r w:rsidDel="00000000" w:rsidR="00000000" w:rsidRPr="00000000">
        <w:rPr>
          <w:rtl w:val="0"/>
        </w:rPr>
      </w:r>
    </w:p>
    <w:sectPr>
      <w:pgSz w:h="16838" w:w="11906"/>
      <w:pgMar w:bottom="1417" w:top="56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before="20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